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B0D4" w14:textId="651CCAF5" w:rsidR="00997ADA" w:rsidRPr="0095679A" w:rsidRDefault="006133AF" w:rsidP="00175A74">
      <w:pPr>
        <w:jc w:val="center"/>
        <w:rPr>
          <w:rFonts w:ascii="Arial" w:hAnsi="Arial" w:cs="Arial"/>
          <w:color w:val="595959" w:themeColor="text1" w:themeTint="A6"/>
          <w:sz w:val="36"/>
          <w:szCs w:val="36"/>
          <w:u w:val="single"/>
        </w:rPr>
      </w:pPr>
      <w:r>
        <w:rPr>
          <w:rFonts w:ascii="Arial" w:hAnsi="Arial" w:cs="Arial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74EF384D" wp14:editId="1398499C">
            <wp:simplePos x="0" y="0"/>
            <wp:positionH relativeFrom="margin">
              <wp:posOffset>2122170</wp:posOffset>
            </wp:positionH>
            <wp:positionV relativeFrom="paragraph">
              <wp:posOffset>-716915</wp:posOffset>
            </wp:positionV>
            <wp:extent cx="1409700" cy="63100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3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AB5" w:rsidRPr="0095679A">
        <w:rPr>
          <w:rFonts w:ascii="Arial" w:hAnsi="Arial" w:cs="Arial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141C5267" wp14:editId="1CA31251">
            <wp:simplePos x="0" y="0"/>
            <wp:positionH relativeFrom="rightMargin">
              <wp:align>left</wp:align>
            </wp:positionH>
            <wp:positionV relativeFrom="paragraph">
              <wp:posOffset>266</wp:posOffset>
            </wp:positionV>
            <wp:extent cx="45720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20700" y="21016"/>
                <wp:lineTo x="2070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A74" w:rsidRPr="0095679A">
        <w:rPr>
          <w:rFonts w:ascii="Arial" w:hAnsi="Arial" w:cs="Arial"/>
          <w:color w:val="595959" w:themeColor="text1" w:themeTint="A6"/>
          <w:sz w:val="36"/>
          <w:szCs w:val="36"/>
          <w:u w:val="single"/>
        </w:rPr>
        <w:t>Návod</w:t>
      </w:r>
      <w:r w:rsidR="00BF02A3">
        <w:rPr>
          <w:rFonts w:ascii="Arial" w:hAnsi="Arial" w:cs="Arial"/>
          <w:color w:val="595959" w:themeColor="text1" w:themeTint="A6"/>
          <w:sz w:val="36"/>
          <w:szCs w:val="36"/>
          <w:u w:val="single"/>
        </w:rPr>
        <w:t xml:space="preserve"> </w:t>
      </w:r>
      <w:r w:rsidR="00175A74" w:rsidRPr="0095679A">
        <w:rPr>
          <w:rFonts w:ascii="Arial" w:hAnsi="Arial" w:cs="Arial"/>
          <w:color w:val="595959" w:themeColor="text1" w:themeTint="A6"/>
          <w:sz w:val="36"/>
          <w:szCs w:val="36"/>
          <w:u w:val="single"/>
        </w:rPr>
        <w:t>k použití</w:t>
      </w:r>
    </w:p>
    <w:p w14:paraId="11F9AA9D" w14:textId="23F28913" w:rsidR="00175A74" w:rsidRPr="0095679A" w:rsidRDefault="00175A74" w:rsidP="00175A74">
      <w:pPr>
        <w:rPr>
          <w:rFonts w:ascii="Arial" w:hAnsi="Arial" w:cs="Arial"/>
          <w:color w:val="595959" w:themeColor="text1" w:themeTint="A6"/>
          <w:sz w:val="36"/>
          <w:szCs w:val="36"/>
          <w:u w:val="single"/>
        </w:rPr>
      </w:pPr>
    </w:p>
    <w:p w14:paraId="2A815666" w14:textId="546565EE" w:rsidR="00175A74" w:rsidRPr="0095679A" w:rsidRDefault="00175A74" w:rsidP="00175A74">
      <w:pPr>
        <w:rPr>
          <w:rFonts w:ascii="Arial" w:hAnsi="Arial" w:cs="Arial"/>
          <w:color w:val="595959" w:themeColor="text1" w:themeTint="A6"/>
        </w:rPr>
      </w:pPr>
      <w:r w:rsidRPr="0095679A">
        <w:rPr>
          <w:rFonts w:ascii="Arial" w:hAnsi="Arial" w:cs="Arial"/>
          <w:color w:val="595959" w:themeColor="text1" w:themeTint="A6"/>
        </w:rPr>
        <w:t>Technické data: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2219"/>
        <w:gridCol w:w="7104"/>
      </w:tblGrid>
      <w:tr w:rsidR="00A43AEA" w:rsidRPr="0095679A" w14:paraId="4C7577AA" w14:textId="77777777" w:rsidTr="003E23AA">
        <w:trPr>
          <w:trHeight w:val="264"/>
        </w:trPr>
        <w:tc>
          <w:tcPr>
            <w:tcW w:w="2219" w:type="dxa"/>
          </w:tcPr>
          <w:p w14:paraId="5F64B6AC" w14:textId="703DD7A1" w:rsidR="00A43AEA" w:rsidRPr="0095679A" w:rsidRDefault="00A43AEA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Verze</w:t>
            </w:r>
          </w:p>
        </w:tc>
        <w:tc>
          <w:tcPr>
            <w:tcW w:w="7104" w:type="dxa"/>
          </w:tcPr>
          <w:p w14:paraId="77E94E80" w14:textId="4414224E" w:rsidR="00A43AEA" w:rsidRPr="0095679A" w:rsidRDefault="00F2243E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LED </w:t>
            </w:r>
            <w:r w:rsidR="007772BC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</w:t>
            </w:r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olární svítidlo</w:t>
            </w:r>
          </w:p>
        </w:tc>
      </w:tr>
      <w:tr w:rsidR="00A43AEA" w:rsidRPr="0095679A" w14:paraId="20EEE5DB" w14:textId="77777777" w:rsidTr="00965128">
        <w:trPr>
          <w:trHeight w:val="275"/>
        </w:trPr>
        <w:tc>
          <w:tcPr>
            <w:tcW w:w="2219" w:type="dxa"/>
          </w:tcPr>
          <w:p w14:paraId="517C95A4" w14:textId="7B6D1C0C" w:rsidR="00A43AEA" w:rsidRPr="0095679A" w:rsidRDefault="004D5F2F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Výkon</w:t>
            </w:r>
          </w:p>
        </w:tc>
        <w:tc>
          <w:tcPr>
            <w:tcW w:w="7104" w:type="dxa"/>
          </w:tcPr>
          <w:p w14:paraId="2B135D4C" w14:textId="4C141E0D" w:rsidR="00A43AEA" w:rsidRPr="0095679A" w:rsidRDefault="00EA33B6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100</w:t>
            </w:r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</w:t>
            </w:r>
            <w:proofErr w:type="gramEnd"/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200</w:t>
            </w:r>
            <w:r w:rsidR="007713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, 300W</w:t>
            </w:r>
          </w:p>
        </w:tc>
      </w:tr>
      <w:tr w:rsidR="0095679A" w:rsidRPr="0095679A" w14:paraId="71E49649" w14:textId="77777777" w:rsidTr="0080764B">
        <w:trPr>
          <w:trHeight w:val="264"/>
        </w:trPr>
        <w:tc>
          <w:tcPr>
            <w:tcW w:w="2219" w:type="dxa"/>
          </w:tcPr>
          <w:p w14:paraId="07F4D3B6" w14:textId="38190459" w:rsidR="0078372D" w:rsidRPr="0095679A" w:rsidRDefault="00F2243E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Typ</w:t>
            </w:r>
          </w:p>
        </w:tc>
        <w:tc>
          <w:tcPr>
            <w:tcW w:w="7104" w:type="dxa"/>
          </w:tcPr>
          <w:p w14:paraId="72C7B12A" w14:textId="694D8A6E" w:rsidR="0078372D" w:rsidRPr="0095679A" w:rsidRDefault="00063862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FO-X8100, FO-X8200, FO-X8300</w:t>
            </w:r>
          </w:p>
        </w:tc>
      </w:tr>
      <w:tr w:rsidR="0095679A" w:rsidRPr="0095679A" w14:paraId="6A676478" w14:textId="77777777" w:rsidTr="0080764B">
        <w:trPr>
          <w:trHeight w:val="264"/>
        </w:trPr>
        <w:tc>
          <w:tcPr>
            <w:tcW w:w="2219" w:type="dxa"/>
          </w:tcPr>
          <w:p w14:paraId="69665C70" w14:textId="6D5E5756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PF</w:t>
            </w:r>
          </w:p>
        </w:tc>
        <w:tc>
          <w:tcPr>
            <w:tcW w:w="7104" w:type="dxa"/>
          </w:tcPr>
          <w:p w14:paraId="21202CE7" w14:textId="2D991C35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PF</w:t>
            </w: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ZA"/>
              </w:rPr>
              <w:t>&gt;</w:t>
            </w: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0.5</w:t>
            </w:r>
          </w:p>
        </w:tc>
      </w:tr>
      <w:tr w:rsidR="0095679A" w:rsidRPr="0095679A" w14:paraId="453BD6AE" w14:textId="77777777" w:rsidTr="0080764B">
        <w:trPr>
          <w:trHeight w:val="264"/>
        </w:trPr>
        <w:tc>
          <w:tcPr>
            <w:tcW w:w="2219" w:type="dxa"/>
          </w:tcPr>
          <w:p w14:paraId="1B864589" w14:textId="3997EA09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Třída krytí</w:t>
            </w:r>
          </w:p>
        </w:tc>
        <w:tc>
          <w:tcPr>
            <w:tcW w:w="7104" w:type="dxa"/>
          </w:tcPr>
          <w:p w14:paraId="168346B2" w14:textId="54909368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IP</w:t>
            </w:r>
            <w:r w:rsidR="00A43AE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6</w:t>
            </w:r>
            <w:r w:rsidR="00EA33B6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6</w:t>
            </w:r>
          </w:p>
        </w:tc>
      </w:tr>
      <w:tr w:rsidR="0095679A" w:rsidRPr="0095679A" w14:paraId="7AA8AF05" w14:textId="77777777" w:rsidTr="0080764B">
        <w:trPr>
          <w:trHeight w:val="275"/>
        </w:trPr>
        <w:tc>
          <w:tcPr>
            <w:tcW w:w="2219" w:type="dxa"/>
          </w:tcPr>
          <w:p w14:paraId="23A7BE02" w14:textId="15CBFF47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Teplota prostředí</w:t>
            </w:r>
          </w:p>
        </w:tc>
        <w:tc>
          <w:tcPr>
            <w:tcW w:w="7104" w:type="dxa"/>
          </w:tcPr>
          <w:p w14:paraId="5F23C77B" w14:textId="7C61F5A2" w:rsidR="0078372D" w:rsidRPr="0095679A" w:rsidRDefault="0078372D" w:rsidP="0078372D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-</w:t>
            </w:r>
            <w:proofErr w:type="gramStart"/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</w:t>
            </w:r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  <w:shd w:val="clear" w:color="auto" w:fill="FFFFFF"/>
              </w:rPr>
              <w:t>°C</w:t>
            </w:r>
            <w:proofErr w:type="gramEnd"/>
            <w:r w:rsidRPr="0095679A">
              <w:rPr>
                <w:rFonts w:ascii="Arial" w:hAnsi="Arial" w:cs="Arial"/>
                <w:color w:val="595959" w:themeColor="text1" w:themeTint="A6"/>
                <w:sz w:val="20"/>
                <w:szCs w:val="20"/>
                <w:shd w:val="clear" w:color="auto" w:fill="FFFFFF"/>
              </w:rPr>
              <w:t xml:space="preserve"> až +40°C</w:t>
            </w:r>
          </w:p>
        </w:tc>
      </w:tr>
    </w:tbl>
    <w:p w14:paraId="66F1BFBB" w14:textId="5D213BDD" w:rsidR="00D853FB" w:rsidRPr="0095679A" w:rsidRDefault="001C5DC3" w:rsidP="00175A74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95679A">
        <w:rPr>
          <w:rFonts w:ascii="Arial" w:hAnsi="Arial" w:cs="Arial"/>
          <w:color w:val="595959" w:themeColor="text1" w:themeTint="A6"/>
          <w:sz w:val="18"/>
          <w:szCs w:val="18"/>
        </w:rPr>
        <w:t>Záruka:</w:t>
      </w:r>
    </w:p>
    <w:p w14:paraId="70FC8784" w14:textId="36062857" w:rsidR="001C5DC3" w:rsidRDefault="001C5DC3" w:rsidP="00175A74">
      <w:pPr>
        <w:rPr>
          <w:rFonts w:ascii="Arial" w:hAnsi="Arial" w:cs="Arial"/>
          <w:color w:val="595959" w:themeColor="text1" w:themeTint="A6"/>
          <w:sz w:val="18"/>
          <w:szCs w:val="18"/>
        </w:rPr>
      </w:pPr>
      <w:r w:rsidRPr="0095679A">
        <w:rPr>
          <w:rFonts w:ascii="Arial" w:hAnsi="Arial" w:cs="Arial"/>
          <w:color w:val="595959" w:themeColor="text1" w:themeTint="A6"/>
          <w:sz w:val="18"/>
          <w:szCs w:val="18"/>
        </w:rPr>
        <w:t>Děkujeme, že jste si vybrali tento výrobek. Záruka je platná po dobu 2 let od data zakoupení. Záruka se nevztahuje na škody způsoben</w:t>
      </w:r>
      <w:r w:rsidR="00BF02A3">
        <w:rPr>
          <w:rFonts w:ascii="Arial" w:hAnsi="Arial" w:cs="Arial"/>
          <w:color w:val="595959" w:themeColor="text1" w:themeTint="A6"/>
          <w:sz w:val="18"/>
          <w:szCs w:val="18"/>
        </w:rPr>
        <w:t xml:space="preserve">é </w:t>
      </w:r>
      <w:r w:rsidRPr="0095679A">
        <w:rPr>
          <w:rFonts w:ascii="Arial" w:hAnsi="Arial" w:cs="Arial"/>
          <w:color w:val="595959" w:themeColor="text1" w:themeTint="A6"/>
          <w:sz w:val="18"/>
          <w:szCs w:val="18"/>
        </w:rPr>
        <w:t xml:space="preserve">atypickým opotřebením. Záruka není </w:t>
      </w:r>
      <w:r w:rsidR="0080764B" w:rsidRPr="0095679A">
        <w:rPr>
          <w:rFonts w:ascii="Arial" w:hAnsi="Arial" w:cs="Arial"/>
          <w:color w:val="595959" w:themeColor="text1" w:themeTint="A6"/>
          <w:sz w:val="18"/>
          <w:szCs w:val="18"/>
        </w:rPr>
        <w:t>poskytnuta na jakémkoli povrchu, kvůli neodbornému odstranění a instalaci výrobku. Výrobek má záruku pouze pro výrobní vady</w:t>
      </w:r>
      <w:r w:rsidR="0014004C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45349199" w14:textId="77777777" w:rsidR="007772BC" w:rsidRDefault="007713FE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Návod: </w:t>
      </w:r>
    </w:p>
    <w:p w14:paraId="435F2504" w14:textId="77CD921E" w:rsidR="001C5DC3" w:rsidRDefault="007713FE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Upevněte svítidlo do vhodného držáku, </w:t>
      </w:r>
      <w:r w:rsidR="006133AF">
        <w:rPr>
          <w:rFonts w:ascii="Arial" w:hAnsi="Arial" w:cs="Arial"/>
          <w:color w:val="595959" w:themeColor="text1" w:themeTint="A6"/>
          <w:sz w:val="18"/>
          <w:szCs w:val="18"/>
        </w:rPr>
        <w:t xml:space="preserve">nechtě svítidlo nabít na přímém slunci až </w:t>
      </w:r>
      <w:r w:rsidR="00063862">
        <w:rPr>
          <w:rFonts w:ascii="Arial" w:hAnsi="Arial" w:cs="Arial"/>
          <w:color w:val="595959" w:themeColor="text1" w:themeTint="A6"/>
          <w:sz w:val="18"/>
          <w:szCs w:val="18"/>
        </w:rPr>
        <w:t>8</w:t>
      </w:r>
      <w:r w:rsidR="006133AF">
        <w:rPr>
          <w:rFonts w:ascii="Arial" w:hAnsi="Arial" w:cs="Arial"/>
          <w:color w:val="595959" w:themeColor="text1" w:themeTint="A6"/>
          <w:sz w:val="18"/>
          <w:szCs w:val="18"/>
        </w:rPr>
        <w:t xml:space="preserve"> hodin do plného nabití. Z</w:t>
      </w:r>
      <w:r w:rsidR="007772BC">
        <w:rPr>
          <w:rFonts w:ascii="Arial" w:hAnsi="Arial" w:cs="Arial"/>
          <w:color w:val="595959" w:themeColor="text1" w:themeTint="A6"/>
          <w:sz w:val="18"/>
          <w:szCs w:val="18"/>
        </w:rPr>
        <w:t>apněte svítidlo pomocí tlačítka na svítidle, nebo dálkovém ovladači on/</w:t>
      </w:r>
      <w:proofErr w:type="spellStart"/>
      <w:r w:rsidR="007772BC">
        <w:rPr>
          <w:rFonts w:ascii="Arial" w:hAnsi="Arial" w:cs="Arial"/>
          <w:color w:val="595959" w:themeColor="text1" w:themeTint="A6"/>
          <w:sz w:val="18"/>
          <w:szCs w:val="18"/>
        </w:rPr>
        <w:t>of</w:t>
      </w:r>
      <w:r w:rsidR="006133AF">
        <w:rPr>
          <w:rFonts w:ascii="Arial" w:hAnsi="Arial" w:cs="Arial"/>
          <w:color w:val="595959" w:themeColor="text1" w:themeTint="A6"/>
          <w:sz w:val="18"/>
          <w:szCs w:val="18"/>
        </w:rPr>
        <w:t>f</w:t>
      </w:r>
      <w:proofErr w:type="spellEnd"/>
      <w:r w:rsidR="006133AF">
        <w:rPr>
          <w:rFonts w:ascii="Arial" w:hAnsi="Arial" w:cs="Arial"/>
          <w:color w:val="595959" w:themeColor="text1" w:themeTint="A6"/>
          <w:sz w:val="18"/>
          <w:szCs w:val="18"/>
        </w:rPr>
        <w:t>. Svítidlo se automaticky aktivuje při setmění.</w:t>
      </w:r>
    </w:p>
    <w:p w14:paraId="13872609" w14:textId="18A0F8CF" w:rsidR="007772BC" w:rsidRDefault="007772BC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>Návod pro dálkový ovladač:</w:t>
      </w:r>
    </w:p>
    <w:p w14:paraId="0D207DD3" w14:textId="5233980A" w:rsidR="00D57DCD" w:rsidRDefault="00D57DCD" w:rsidP="00D57DCD">
      <w:pPr>
        <w:pStyle w:val="Bezmezer"/>
      </w:pPr>
      <w:r>
        <w:t xml:space="preserve">Tlačítko – </w:t>
      </w:r>
      <w:r>
        <w:rPr>
          <w:b/>
          <w:bCs/>
        </w:rPr>
        <w:t>Q</w:t>
      </w:r>
      <w:r w:rsidRPr="006133AF">
        <w:rPr>
          <w:b/>
          <w:bCs/>
        </w:rPr>
        <w:t>/</w:t>
      </w:r>
      <w:r>
        <w:rPr>
          <w:b/>
          <w:bCs/>
        </w:rPr>
        <w:t>T</w:t>
      </w:r>
      <w:r>
        <w:t xml:space="preserve"> </w:t>
      </w:r>
    </w:p>
    <w:p w14:paraId="3287C578" w14:textId="1A432003" w:rsidR="00D57DCD" w:rsidRDefault="00D57DCD" w:rsidP="00D57DCD">
      <w:pPr>
        <w:pStyle w:val="Bezmezer"/>
      </w:pPr>
      <w:r>
        <w:tab/>
      </w:r>
      <w:r w:rsidRPr="00D57DCD">
        <w:t>Vyberte, zda se jedná o hlavní světlo nebo střední světeln</w:t>
      </w:r>
      <w:r>
        <w:t>ou</w:t>
      </w:r>
      <w:r w:rsidRPr="00D57DCD">
        <w:t xml:space="preserve"> lištu, </w:t>
      </w:r>
      <w:r>
        <w:t>pro</w:t>
      </w:r>
      <w:r w:rsidRPr="00D57DCD">
        <w:t xml:space="preserve"> slab</w:t>
      </w:r>
      <w:r>
        <w:t>é</w:t>
      </w:r>
      <w:r w:rsidRPr="00D57DCD">
        <w:t xml:space="preserve"> osvětlen</w:t>
      </w:r>
      <w:r>
        <w:t>í</w:t>
      </w:r>
    </w:p>
    <w:p w14:paraId="7AC62D7C" w14:textId="77777777" w:rsidR="00D57DCD" w:rsidRDefault="00D57DCD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7F03A2BD" w14:textId="3028015A" w:rsidR="007772BC" w:rsidRDefault="007772BC" w:rsidP="007772BC">
      <w:pPr>
        <w:pStyle w:val="Bezmezer"/>
      </w:pPr>
      <w:r>
        <w:t xml:space="preserve">Tlačítko – </w:t>
      </w:r>
      <w:r w:rsidRPr="006133AF">
        <w:rPr>
          <w:b/>
          <w:bCs/>
        </w:rPr>
        <w:t>ON/OFF</w:t>
      </w:r>
      <w:r>
        <w:t xml:space="preserve"> </w:t>
      </w:r>
    </w:p>
    <w:p w14:paraId="09C89E2F" w14:textId="034F16CC" w:rsidR="007772BC" w:rsidRDefault="007772BC" w:rsidP="007772BC">
      <w:pPr>
        <w:pStyle w:val="Bezmezer"/>
      </w:pPr>
      <w:r>
        <w:tab/>
        <w:t>Zapnout / Vypnout</w:t>
      </w:r>
    </w:p>
    <w:p w14:paraId="0C2A53EC" w14:textId="77777777" w:rsidR="00800746" w:rsidRDefault="00800746" w:rsidP="007772BC">
      <w:pPr>
        <w:pStyle w:val="Bezmezer"/>
      </w:pPr>
    </w:p>
    <w:p w14:paraId="1918D55C" w14:textId="38BA7235" w:rsidR="00D87B89" w:rsidRDefault="00D87B89" w:rsidP="00D87B89">
      <w:pPr>
        <w:pStyle w:val="Bezmezer"/>
      </w:pPr>
      <w:r>
        <w:t xml:space="preserve">Tlačítko – </w:t>
      </w:r>
      <w:proofErr w:type="gramStart"/>
      <w:r w:rsidR="00D57DCD">
        <w:rPr>
          <w:b/>
          <w:bCs/>
        </w:rPr>
        <w:t>3</w:t>
      </w:r>
      <w:r w:rsidRPr="006133AF">
        <w:rPr>
          <w:b/>
          <w:bCs/>
        </w:rPr>
        <w:t>H</w:t>
      </w:r>
      <w:proofErr w:type="gramEnd"/>
    </w:p>
    <w:p w14:paraId="68BDD760" w14:textId="135B4DF7" w:rsidR="00D87B89" w:rsidRDefault="00D87B89" w:rsidP="00D87B89">
      <w:pPr>
        <w:pStyle w:val="Bezmezer"/>
      </w:pPr>
      <w:r>
        <w:tab/>
      </w:r>
      <w:r w:rsidR="004D5F2F">
        <w:t>Od setmění se vypne po 2 hodinách.</w:t>
      </w:r>
    </w:p>
    <w:p w14:paraId="59C99ECE" w14:textId="77777777" w:rsidR="00800746" w:rsidRDefault="00800746" w:rsidP="00D87B89">
      <w:pPr>
        <w:pStyle w:val="Bezmezer"/>
      </w:pPr>
    </w:p>
    <w:p w14:paraId="55FC7D7A" w14:textId="4300916A" w:rsidR="00D87B89" w:rsidRDefault="00D87B89" w:rsidP="00D87B89">
      <w:pPr>
        <w:pStyle w:val="Bezmezer"/>
      </w:pPr>
      <w:r>
        <w:t xml:space="preserve">Tlačítko – </w:t>
      </w:r>
      <w:proofErr w:type="gramStart"/>
      <w:r w:rsidR="00D57DCD">
        <w:rPr>
          <w:b/>
          <w:bCs/>
        </w:rPr>
        <w:t>5</w:t>
      </w:r>
      <w:r w:rsidR="00880DAD" w:rsidRPr="006133AF">
        <w:rPr>
          <w:b/>
          <w:bCs/>
        </w:rPr>
        <w:t>H</w:t>
      </w:r>
      <w:proofErr w:type="gramEnd"/>
      <w:r>
        <w:t xml:space="preserve"> </w:t>
      </w:r>
    </w:p>
    <w:p w14:paraId="336557D9" w14:textId="3CA4A504" w:rsidR="00800746" w:rsidRDefault="00D87B89" w:rsidP="00D87B89">
      <w:pPr>
        <w:pStyle w:val="Bezmezer"/>
      </w:pPr>
      <w:r>
        <w:tab/>
      </w:r>
      <w:r w:rsidR="004D5F2F">
        <w:t>Od setmění se vypne po 4 hodinách.</w:t>
      </w:r>
    </w:p>
    <w:p w14:paraId="6DAEE016" w14:textId="77777777" w:rsidR="004D5F2F" w:rsidRDefault="004D5F2F" w:rsidP="00D87B89">
      <w:pPr>
        <w:pStyle w:val="Bezmezer"/>
      </w:pPr>
    </w:p>
    <w:p w14:paraId="44E0FF74" w14:textId="6B78E974" w:rsidR="00D87B89" w:rsidRDefault="00D87B89" w:rsidP="00D87B89">
      <w:pPr>
        <w:pStyle w:val="Bezmezer"/>
      </w:pPr>
      <w:r>
        <w:t xml:space="preserve">Tlačítko – </w:t>
      </w:r>
      <w:proofErr w:type="gramStart"/>
      <w:r w:rsidR="00D57DCD">
        <w:rPr>
          <w:b/>
          <w:bCs/>
        </w:rPr>
        <w:t>8</w:t>
      </w:r>
      <w:r w:rsidR="00880DAD" w:rsidRPr="006133AF">
        <w:rPr>
          <w:b/>
          <w:bCs/>
        </w:rPr>
        <w:t>H</w:t>
      </w:r>
      <w:proofErr w:type="gramEnd"/>
    </w:p>
    <w:p w14:paraId="06B4D05F" w14:textId="64416AA2" w:rsidR="00D87B89" w:rsidRDefault="00D87B89" w:rsidP="00D87B89">
      <w:pPr>
        <w:pStyle w:val="Bezmezer"/>
      </w:pPr>
      <w:r>
        <w:tab/>
      </w:r>
      <w:r w:rsidR="004D5F2F">
        <w:t>Od setmění se vypne po 6 hodinách.</w:t>
      </w:r>
    </w:p>
    <w:p w14:paraId="4848B0DA" w14:textId="77777777" w:rsidR="00800746" w:rsidRDefault="00800746" w:rsidP="00D87B89">
      <w:pPr>
        <w:pStyle w:val="Bezmezer"/>
      </w:pPr>
    </w:p>
    <w:p w14:paraId="61AA8E12" w14:textId="705586A4" w:rsidR="00D87B89" w:rsidRDefault="00D87B89" w:rsidP="00D87B89">
      <w:pPr>
        <w:pStyle w:val="Bezmezer"/>
      </w:pPr>
      <w:r>
        <w:t xml:space="preserve">Tlačítka – </w:t>
      </w:r>
      <w:r w:rsidR="00D57DCD">
        <w:rPr>
          <w:b/>
          <w:bCs/>
        </w:rPr>
        <w:t xml:space="preserve">M / JAS / + - </w:t>
      </w:r>
    </w:p>
    <w:p w14:paraId="67194644" w14:textId="650B9AAA" w:rsidR="00D87B89" w:rsidRDefault="00D87B89" w:rsidP="00D87B89">
      <w:pPr>
        <w:pStyle w:val="Bezmezer"/>
      </w:pPr>
      <w:r>
        <w:tab/>
      </w:r>
      <w:r w:rsidR="00063862" w:rsidRPr="00063862">
        <w:rPr>
          <w:b/>
          <w:bCs/>
        </w:rPr>
        <w:t>M</w:t>
      </w:r>
      <w:r w:rsidR="00063862">
        <w:t xml:space="preserve"> aktivování, nebo deaktivování senzoru.</w:t>
      </w:r>
    </w:p>
    <w:p w14:paraId="670D3AE7" w14:textId="552223AD" w:rsidR="00063862" w:rsidRDefault="00063862" w:rsidP="00D87B89">
      <w:pPr>
        <w:pStyle w:val="Bezmezer"/>
      </w:pPr>
      <w:r>
        <w:tab/>
      </w:r>
      <w:proofErr w:type="gramStart"/>
      <w:r w:rsidRPr="00063862">
        <w:rPr>
          <w:b/>
          <w:bCs/>
        </w:rPr>
        <w:t>JAS</w:t>
      </w:r>
      <w:r>
        <w:t xml:space="preserve">  Zvýšení</w:t>
      </w:r>
      <w:proofErr w:type="gramEnd"/>
      <w:r>
        <w:t xml:space="preserve"> a snížení jasu.</w:t>
      </w:r>
    </w:p>
    <w:p w14:paraId="5B1EDEE9" w14:textId="24867423" w:rsidR="00063862" w:rsidRDefault="00063862" w:rsidP="00D87B89">
      <w:pPr>
        <w:pStyle w:val="Bezmezer"/>
      </w:pPr>
      <w:r>
        <w:tab/>
      </w:r>
      <w:r w:rsidRPr="00063862">
        <w:rPr>
          <w:b/>
          <w:bCs/>
        </w:rPr>
        <w:t>+ -</w:t>
      </w:r>
      <w:r>
        <w:t xml:space="preserve"> </w:t>
      </w:r>
      <w:r>
        <w:t xml:space="preserve">Pomocí šipek </w:t>
      </w:r>
      <w:r w:rsidRPr="00063862">
        <w:rPr>
          <w:b/>
          <w:bCs/>
        </w:rPr>
        <w:t>plus</w:t>
      </w:r>
      <w:r>
        <w:t xml:space="preserve">, nebo </w:t>
      </w:r>
      <w:r w:rsidRPr="00063862">
        <w:rPr>
          <w:b/>
          <w:bCs/>
        </w:rPr>
        <w:t>mínus</w:t>
      </w:r>
      <w:r>
        <w:t xml:space="preserve"> nastavíme dobu aktivování radaru – po 1 hodině.</w:t>
      </w:r>
    </w:p>
    <w:p w14:paraId="754103FE" w14:textId="77777777" w:rsidR="00800746" w:rsidRDefault="00800746" w:rsidP="00D87B89">
      <w:pPr>
        <w:pStyle w:val="Bezmezer"/>
      </w:pPr>
    </w:p>
    <w:p w14:paraId="2551FC2C" w14:textId="7AD4CF44" w:rsidR="00D87B89" w:rsidRDefault="00D87B89" w:rsidP="00D87B89">
      <w:pPr>
        <w:pStyle w:val="Bezmezer"/>
      </w:pPr>
      <w:r>
        <w:t xml:space="preserve">Tlačítko – </w:t>
      </w:r>
      <w:r w:rsidR="00D57DCD">
        <w:rPr>
          <w:b/>
          <w:bCs/>
        </w:rPr>
        <w:t>AUTO</w:t>
      </w:r>
      <w:r w:rsidRPr="006133AF">
        <w:rPr>
          <w:b/>
          <w:bCs/>
        </w:rPr>
        <w:t xml:space="preserve"> </w:t>
      </w:r>
    </w:p>
    <w:p w14:paraId="5D204723" w14:textId="6165B22B" w:rsidR="00800746" w:rsidRDefault="00D87B89" w:rsidP="00D87B89">
      <w:pPr>
        <w:pStyle w:val="Bezmezer"/>
      </w:pPr>
      <w:r>
        <w:tab/>
      </w:r>
      <w:r w:rsidR="00D57DCD">
        <w:t>Za soumraku se svítidlo rozsvítí s aktivovaným senzorem a vypne se po 12 hodinách, nebo při rozednění.</w:t>
      </w:r>
    </w:p>
    <w:p w14:paraId="0C3C0526" w14:textId="77777777" w:rsidR="00D87B89" w:rsidRDefault="00D87B89" w:rsidP="00D87B89">
      <w:pPr>
        <w:pStyle w:val="Bezmezer"/>
      </w:pPr>
    </w:p>
    <w:p w14:paraId="33642E53" w14:textId="77777777" w:rsidR="00D87B89" w:rsidRDefault="00D87B89" w:rsidP="00D87B89">
      <w:pPr>
        <w:pStyle w:val="Bezmezer"/>
      </w:pPr>
    </w:p>
    <w:p w14:paraId="6F9B6A01" w14:textId="77777777" w:rsidR="00D87B89" w:rsidRDefault="00D87B89" w:rsidP="00D87B89">
      <w:pPr>
        <w:pStyle w:val="Bezmezer"/>
      </w:pPr>
    </w:p>
    <w:p w14:paraId="5A375DDD" w14:textId="77777777" w:rsidR="00D87B89" w:rsidRDefault="00D87B89" w:rsidP="007772BC">
      <w:pPr>
        <w:pStyle w:val="Bezmezer"/>
      </w:pPr>
    </w:p>
    <w:p w14:paraId="15780C96" w14:textId="3987A491" w:rsidR="007772BC" w:rsidRDefault="007772BC" w:rsidP="007772BC">
      <w:pPr>
        <w:pStyle w:val="Bezmezer"/>
      </w:pPr>
    </w:p>
    <w:p w14:paraId="23C132DB" w14:textId="45C8CFC7" w:rsidR="007772BC" w:rsidRDefault="007772BC" w:rsidP="007772BC">
      <w:pPr>
        <w:pStyle w:val="Bezmezer"/>
      </w:pPr>
      <w:r>
        <w:lastRenderedPageBreak/>
        <w:tab/>
      </w:r>
    </w:p>
    <w:p w14:paraId="35A359E4" w14:textId="77777777" w:rsidR="007772BC" w:rsidRDefault="007772BC" w:rsidP="007772BC">
      <w:pPr>
        <w:pStyle w:val="Bezmezer"/>
      </w:pPr>
    </w:p>
    <w:p w14:paraId="2AE973C1" w14:textId="77777777" w:rsidR="007772BC" w:rsidRPr="007713FE" w:rsidRDefault="007772BC" w:rsidP="007713FE">
      <w:pPr>
        <w:rPr>
          <w:rFonts w:ascii="Arial" w:hAnsi="Arial" w:cs="Arial"/>
          <w:color w:val="595959" w:themeColor="text1" w:themeTint="A6"/>
          <w:sz w:val="18"/>
          <w:szCs w:val="18"/>
        </w:rPr>
      </w:pPr>
    </w:p>
    <w:sectPr w:rsidR="007772BC" w:rsidRPr="00771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1BA7"/>
    <w:multiLevelType w:val="hybridMultilevel"/>
    <w:tmpl w:val="9D3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3B3"/>
    <w:multiLevelType w:val="hybridMultilevel"/>
    <w:tmpl w:val="9D3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B42C3"/>
    <w:multiLevelType w:val="hybridMultilevel"/>
    <w:tmpl w:val="07F0B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74"/>
    <w:rsid w:val="00063862"/>
    <w:rsid w:val="000B587F"/>
    <w:rsid w:val="0014004C"/>
    <w:rsid w:val="00175A74"/>
    <w:rsid w:val="001C350D"/>
    <w:rsid w:val="001C5DC3"/>
    <w:rsid w:val="002E4D3C"/>
    <w:rsid w:val="00466F43"/>
    <w:rsid w:val="004D5F2F"/>
    <w:rsid w:val="00601553"/>
    <w:rsid w:val="006133AF"/>
    <w:rsid w:val="006A330A"/>
    <w:rsid w:val="006F1F6D"/>
    <w:rsid w:val="007713FE"/>
    <w:rsid w:val="007772BC"/>
    <w:rsid w:val="0078372D"/>
    <w:rsid w:val="00800746"/>
    <w:rsid w:val="0080764B"/>
    <w:rsid w:val="00880DAD"/>
    <w:rsid w:val="0095679A"/>
    <w:rsid w:val="009941DC"/>
    <w:rsid w:val="00997ADA"/>
    <w:rsid w:val="00A43AEA"/>
    <w:rsid w:val="00B03AB5"/>
    <w:rsid w:val="00BB5C39"/>
    <w:rsid w:val="00BF02A3"/>
    <w:rsid w:val="00C0541B"/>
    <w:rsid w:val="00D57DCD"/>
    <w:rsid w:val="00D853FB"/>
    <w:rsid w:val="00D87B89"/>
    <w:rsid w:val="00EA33B6"/>
    <w:rsid w:val="00EF4C39"/>
    <w:rsid w:val="00F2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9AEA"/>
  <w15:chartTrackingRefBased/>
  <w15:docId w15:val="{693DA37F-045A-4531-83F7-EE360230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53FB"/>
    <w:pPr>
      <w:ind w:left="720"/>
      <w:contextualSpacing/>
    </w:pPr>
  </w:style>
  <w:style w:type="paragraph" w:styleId="Bezmezer">
    <w:name w:val="No Spacing"/>
    <w:uiPriority w:val="1"/>
    <w:qFormat/>
    <w:rsid w:val="00777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schiller</dc:creator>
  <cp:keywords/>
  <dc:description/>
  <cp:lastModifiedBy>patrik schiller</cp:lastModifiedBy>
  <cp:revision>3</cp:revision>
  <cp:lastPrinted>2020-11-13T15:00:00Z</cp:lastPrinted>
  <dcterms:created xsi:type="dcterms:W3CDTF">2021-11-10T21:11:00Z</dcterms:created>
  <dcterms:modified xsi:type="dcterms:W3CDTF">2022-02-17T11:56:00Z</dcterms:modified>
</cp:coreProperties>
</file>